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ALDERBRIDGE ADVISORY</w:t>
      </w:r>
    </w:p>
    <w:p>
      <w:pPr>
        <w:pStyle w:val="Title"/>
      </w:pPr>
      <w:r>
        <w:t>Operational diagnostic</w:t>
      </w:r>
    </w:p>
    <w:p>
      <w:r>
        <w:t>Harbour Field Services · fictional</w:t>
      </w:r>
    </w:p>
    <w:p>
      <w:r>
        <w:t>Report v7 | Source v1 | Scope S-f46ac6d2 v1</w:t>
      </w:r>
    </w:p>
    <w:p>
      <w:r>
        <w:t>For 26 October 2026, 300 available hours at an estimated five hours per job model 60 jobs; this is not measured throughput. The confirmed-only comparison uses 60 jobs. The planning register still contains 80 jobs, including 20 provisional jobs dependent on client access. If none of those provisional jobs release during the week, the confirmed-only comparison remains 60; if all release, the potential workload is 80 against the same 60-job model. The planning register remains 80 in both scenarios. These conditional comparisons do not establish delivery readiness, spare capacity, staffing need or a commitment. Confirm actual access-release dates, validate job mix and measured effort, and compare scheduling and service scope before deciding.</w:t>
      </w:r>
    </w:p>
    <w:p>
      <w:pPr>
        <w:pStyle w:val="Heading1"/>
      </w:pPr>
      <w:r>
        <w:t>Engagement brief</w:t>
      </w:r>
    </w:p>
    <w:p>
      <w:r>
        <w:t>Compare confirmed demand with the full planning case for Harbour; identify scheduling questions before any capacity commitment.</w:t>
      </w:r>
    </w:p>
    <w:p>
      <w:r>
        <w:t>Deliverable: Qualified same-period diagnostic and evidence questions for Harbour’s sponsor.</w:t>
      </w:r>
    </w:p>
    <w:p>
      <w:r>
        <w:t>Outside this engagement: No staffing recommendations, service commitments, client sends or financial actions.</w:t>
      </w:r>
    </w:p>
    <w:p>
      <w:pPr>
        <w:pStyle w:val="Heading1"/>
      </w:pPr>
      <w:r>
        <w:t>Modelled comparison</w:t>
      </w:r>
    </w:p>
    <w:tbl>
      <w:tblPr>
        <w:tblW w:type="auto" w:w="0"/>
        <w:tblLook w:firstColumn="1" w:firstRow="1" w:lastColumn="0" w:lastRow="0" w:noHBand="0" w:noVBand="1" w:val="04A0"/>
      </w:tblPr>
      <w:tblGrid>
        <w:gridCol w:w="4592"/>
        <w:gridCol w:w="4592"/>
      </w:tblGrid>
      <w:tr>
        <w:trPr>
          <w:tblHeader/>
        </w:trPr>
        <w:tc>
          <w:tcPr>
            <w:tcW w:type="dxa" w:w="4592"/>
            <w:tcBorders>
              <w:bottom w:val="single" w:sz="4" w:color="DADDE1"/>
            </w:tcBorders>
          </w:tcPr>
          <w:p>
            <w:pPr>
              <w:spacing w:after="100" w:before="100"/>
            </w:pPr>
            <w:r>
              <w:rPr>
                <w:b/>
              </w:rPr>
              <w:t>Input or result</w:t>
            </w:r>
          </w:p>
        </w:tc>
        <w:tc>
          <w:tcPr>
            <w:tcW w:type="dxa" w:w="4592"/>
            <w:tcBorders>
              <w:bottom w:val="single" w:sz="4" w:color="DADDE1"/>
            </w:tcBorders>
          </w:tcPr>
          <w:p>
            <w:pPr>
              <w:spacing w:after="100" w:before="100"/>
            </w:pPr>
            <w:r>
              <w:rPr>
                <w:b/>
              </w:rPr>
              <w:t>Current basis</w:t>
            </w:r>
          </w:p>
        </w:tc>
      </w:tr>
      <w:tr>
        <w:tc>
          <w:tcPr>
            <w:tcW w:type="dxa" w:w="4592"/>
            <w:tcBorders>
              <w:bottom w:val="single" w:sz="4" w:color="DADDE1"/>
            </w:tcBorders>
          </w:tcPr>
          <w:p>
            <w:pPr>
              <w:spacing w:after="100" w:before="100"/>
            </w:pPr>
            <w:r>
              <w:t>Available hours</w:t>
            </w:r>
          </w:p>
        </w:tc>
        <w:tc>
          <w:tcPr>
            <w:tcW w:type="dxa" w:w="4592"/>
            <w:tcBorders>
              <w:bottom w:val="single" w:sz="4" w:color="DADDE1"/>
            </w:tcBorders>
          </w:tcPr>
          <w:p>
            <w:pPr>
              <w:spacing w:after="100" w:before="100"/>
            </w:pPr>
            <w:r>
              <w:t>300</w:t>
            </w:r>
          </w:p>
        </w:tc>
      </w:tr>
      <w:tr>
        <w:tc>
          <w:tcPr>
            <w:tcW w:type="dxa" w:w="4592"/>
            <w:tcBorders>
              <w:bottom w:val="single" w:sz="4" w:color="DADDE1"/>
            </w:tcBorders>
          </w:tcPr>
          <w:p>
            <w:pPr>
              <w:spacing w:after="100" w:before="100"/>
            </w:pPr>
            <w:r>
              <w:t>Estimated hours per job</w:t>
            </w:r>
          </w:p>
        </w:tc>
        <w:tc>
          <w:tcPr>
            <w:tcW w:type="dxa" w:w="4592"/>
            <w:tcBorders>
              <w:bottom w:val="single" w:sz="4" w:color="DADDE1"/>
            </w:tcBorders>
          </w:tcPr>
          <w:p>
            <w:pPr>
              <w:spacing w:after="100" w:before="100"/>
            </w:pPr>
            <w:r>
              <w:t>5</w:t>
            </w:r>
          </w:p>
        </w:tc>
      </w:tr>
      <w:tr>
        <w:tc>
          <w:tcPr>
            <w:tcW w:type="dxa" w:w="4592"/>
            <w:tcBorders>
              <w:bottom w:val="single" w:sz="4" w:color="DADDE1"/>
            </w:tcBorders>
          </w:tcPr>
          <w:p>
            <w:pPr>
              <w:spacing w:after="100" w:before="100"/>
            </w:pPr>
            <w:r>
              <w:t>Modelled jobs per week</w:t>
            </w:r>
          </w:p>
        </w:tc>
        <w:tc>
          <w:tcPr>
            <w:tcW w:type="dxa" w:w="4592"/>
            <w:tcBorders>
              <w:bottom w:val="single" w:sz="4" w:color="DADDE1"/>
            </w:tcBorders>
          </w:tcPr>
          <w:p>
            <w:pPr>
              <w:spacing w:after="100" w:before="100"/>
            </w:pPr>
            <w:r>
              <w:t>60</w:t>
            </w:r>
          </w:p>
        </w:tc>
      </w:tr>
      <w:tr>
        <w:tc>
          <w:tcPr>
            <w:tcW w:type="dxa" w:w="4592"/>
            <w:tcBorders>
              <w:bottom w:val="single" w:sz="4" w:color="DADDE1"/>
            </w:tcBorders>
          </w:tcPr>
          <w:p>
            <w:pPr>
              <w:spacing w:after="100" w:before="100"/>
            </w:pPr>
            <w:r>
              <w:t>Full planning jobs per week</w:t>
            </w:r>
          </w:p>
        </w:tc>
        <w:tc>
          <w:tcPr>
            <w:tcW w:type="dxa" w:w="4592"/>
            <w:tcBorders>
              <w:bottom w:val="single" w:sz="4" w:color="DADDE1"/>
            </w:tcBorders>
          </w:tcPr>
          <w:p>
            <w:pPr>
              <w:spacing w:after="100" w:before="100"/>
            </w:pPr>
            <w:r>
              <w:t>80</w:t>
            </w:r>
          </w:p>
        </w:tc>
      </w:tr>
    </w:tbl>
    <w:p>
      <w:pPr>
        <w:pStyle w:val="Heading1"/>
      </w:pPr>
      <w:r>
        <w:t>Basis and limits</w:t>
      </w:r>
    </w:p>
    <w:p>
      <w:r>
        <w:t>The effort input is an estimate. Validate the period, job mix and available options before any commitment. This comparison does not establish staffing viability or guaranteed delivery.</w:t>
      </w:r>
    </w:p>
    <w:p>
      <w:r>
        <w:t>Engagement method v3 | Analytical run 82ed63ae-3b6b-479c-bb0f-1774857a9cdb</w:t>
      </w:r>
    </w:p>
    <w:p>
      <w:r>
        <w:t>Firm method Planning commitments and effort · fictional firm method v2 | 8030172a-0f43-4f73-95d2-7992392cd727</w:t>
      </w:r>
    </w:p>
    <w:p>
      <w:r>
        <w:t>Engagement applicability: The revised method fits Harbour’s unchanged scope by comparing confirmed-only work with the conditional 20-job release case. Access dates remain unknown, so use v2 to frame evidence questions and scheduling options, not to promise delivery. Authored fictional applicability reassessment.</w:t>
      </w:r>
    </w:p>
    <w:p>
      <w:r>
        <w:rPr>
          <w:sz w:val="18"/>
        </w:rPr>
        <w:t>Fictional working example. Not real client advice. No external delivery, invoice or payment has been performed.</w:t>
      </w:r>
    </w:p>
    <w:sectPr w:rsidR="00FC693F" w:rsidRPr="0006063C" w:rsidSect="00034616">
      <w:pgSz w:w="11906" w:h="16838"/>
      <w:pgMar w:top="1191" w:right="1361" w:bottom="119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427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bCs/>
      <w:color w:val="24272D"/>
      <w:sz w:val="26"/>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2427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24272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diagnostic</dc:title>
  <dc:subject>Harbour Field Services · fictional</dc:subject>
  <dc:creator>Sollerius</dc:creator>
  <cp:keywords/>
  <dc:description>generated by python-docx</dc:description>
  <cp:lastModifiedBy>Sollerius</cp:lastModifiedBy>
  <cp:revision>1</cp:revision>
  <dcterms:created xsi:type="dcterms:W3CDTF">2013-12-23T23:15:00Z</dcterms:created>
  <dcterms:modified xsi:type="dcterms:W3CDTF">2013-12-23T23:15:00Z</dcterms:modified>
  <cp:category/>
</cp:coreProperties>
</file>