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ALDERBRIDGE / INTERNAL PLANNING ONLY</w:t>
      </w:r>
    </w:p>
    <w:p>
      <w:pPr>
        <w:pStyle w:val="Title"/>
      </w:pPr>
      <w:r>
        <w:t>Opportunity and delivery handover</w:t>
      </w:r>
    </w:p>
    <w:p>
      <w:r>
        <w:t>Birchwell Partners · fictional</w:t>
      </w:r>
    </w:p>
    <w:p>
      <w:r>
        <w:t>E-72f142b1 | Proposal v2 | Run 86f6129a-2f30-4ecf-a0eb-ebddf9246561</w:t>
      </w:r>
    </w:p>
    <w:p>
      <w:r>
        <w:t>Authored fictional example. No proposal submission, client agreement, win, access permission, delivery commitment, invoice or payment is represented.</w:t>
      </w:r>
    </w:p>
    <w:p>
      <w:pPr>
        <w:pStyle w:val="Heading1"/>
      </w:pPr>
      <w:r>
        <w:t>Proposal</w:t>
      </w:r>
    </w:p>
    <w:p>
      <w:r>
        <w:t>Revised internal proposal: desk review of the existing checklist and one internal workshop, followed by a short options briefing. The earlier interview programme is removed. Compare existing meeting/project-folder practice with an additional form; do not presume cause or a software remedy. Preserve unanswered credentials, conflict clearance, permission and commercial agreement.</w:t>
      </w:r>
    </w:p>
    <w:p>
      <w:pPr>
        <w:pStyle w:val="Heading1"/>
      </w:pPr>
      <w:r>
        <w:t>Client decision</w:t>
      </w:r>
    </w:p>
    <w:p>
      <w:r>
        <w:t>Which first onboarding process test should Birchwell choose after a checklist desk review and one internal workshop?</w:t>
      </w:r>
    </w:p>
    <w:p>
      <w:pPr>
        <w:pStyle w:val="Heading1"/>
      </w:pPr>
      <w:r>
        <w:t>Deliverable</w:t>
      </w:r>
    </w:p>
    <w:p>
      <w:r>
        <w:t>A short internal options briefing: current-process observations from the supplied materials; comparison of (1) retaining/tightening the existing meeting and project-folder process and (2) adding a form; discovery hypotheses; first-test decision criteria; and explicit exclusions and unresolved acceptance conditions.</w:t>
      </w:r>
    </w:p>
    <w:p>
      <w:pPr>
        <w:pStyle w:val="Heading1"/>
      </w:pPr>
      <w:r>
        <w:t>Exclusions</w:t>
      </w:r>
    </w:p>
    <w:p>
      <w:r>
        <w:t>No interviews, interview access, external contact, handover-file access, implementation or dashboard build. No claims of credentials, insurance, conflict clearance, resource availability, client agreement, budget, agreed fee, delivery date or award. Human estimates below are internal planning only.</w:t>
      </w:r>
    </w:p>
    <w:p>
      <w:pPr>
        <w:pStyle w:val="Heading1"/>
      </w:pPr>
      <w:r>
        <w:t>Assumptions</w:t>
      </w:r>
    </w:p>
    <w:p>
      <w:r>
        <w:t>All supplied records are authored fictional examples for local preparation only.</w:t>
      </w:r>
    </w:p>
    <w:p>
      <w:r>
        <w:t>Quotes establish textual provenance only; they do not establish factual truth, professional validity, client agreement, or firm capability.</w:t>
      </w:r>
    </w:p>
    <w:p>
      <w:r>
        <w:t>The existing checklist, meeting, and project folder are the starting point for comparison; their contents and effectiveness remain to be examined.</w:t>
      </w:r>
    </w:p>
    <w:p>
      <w:r>
        <w:t>Improving approvals and consistent use of the existing process remains a viable simpler option alongside any additional form.</w:t>
      </w:r>
    </w:p>
    <w:p>
      <w:pPr>
        <w:pStyle w:val="Heading1"/>
      </w:pPr>
      <w:r>
        <w:t>Stage and fee assumptions</w:t>
      </w:r>
    </w:p>
    <w:tbl>
      <w:tblPr>
        <w:tblW w:type="auto" w:w="0"/>
        <w:tblLayout w:type="fixed"/>
        <w:tblLook w:firstColumn="1" w:firstRow="1" w:lastColumn="0" w:lastRow="0" w:noHBand="0" w:noVBand="1" w:val="04A0"/>
      </w:tblPr>
      <w:tblGrid>
        <w:gridCol w:w="4876"/>
        <w:gridCol w:w="1701"/>
        <w:gridCol w:w="1020"/>
        <w:gridCol w:w="1587"/>
      </w:tblGrid>
      <w:tr>
        <w:trPr>
          <w:tblHeader/>
        </w:trPr>
        <w:tc>
          <w:tcPr>
            <w:tcW w:type="dxa" w:w="4876"/>
          </w:tcPr>
          <w:p>
            <w:pPr>
              <w:spacing w:after="120"/>
            </w:pPr>
            <w:r>
              <w:rPr>
                <w:b/>
              </w:rPr>
              <w:t>Stage</w:t>
            </w:r>
          </w:p>
        </w:tc>
        <w:tc>
          <w:tcPr>
            <w:tcW w:type="dxa" w:w="1701"/>
          </w:tcPr>
          <w:p>
            <w:pPr>
              <w:spacing w:after="120"/>
            </w:pPr>
            <w:r>
              <w:rPr>
                <w:b/>
              </w:rPr>
              <w:t>Role</w:t>
            </w:r>
          </w:p>
        </w:tc>
        <w:tc>
          <w:tcPr>
            <w:tcW w:type="dxa" w:w="1020"/>
          </w:tcPr>
          <w:p>
            <w:pPr>
              <w:spacing w:after="120"/>
            </w:pPr>
            <w:r>
              <w:rPr>
                <w:b/>
              </w:rPr>
              <w:t>Hours</w:t>
            </w:r>
          </w:p>
        </w:tc>
        <w:tc>
          <w:tcPr>
            <w:tcW w:type="dxa" w:w="1587"/>
          </w:tcPr>
          <w:p>
            <w:pPr>
              <w:spacing w:after="120"/>
            </w:pPr>
            <w:r>
              <w:rPr>
                <w:b/>
              </w:rPr>
              <w:t>Cost/hour</w:t>
            </w:r>
          </w:p>
        </w:tc>
      </w:tr>
      <w:tr>
        <w:tc>
          <w:tcPr>
            <w:tcW w:type="dxa" w:w="4876"/>
          </w:tcPr>
          <w:p>
            <w:pPr>
              <w:spacing w:after="120"/>
            </w:pPr>
            <w:r>
              <w:t>Internal evidence and scope boundary review</w:t>
            </w:r>
          </w:p>
        </w:tc>
        <w:tc>
          <w:tcPr>
            <w:tcW w:type="dxa" w:w="1701"/>
          </w:tcPr>
          <w:p>
            <w:pPr>
              <w:spacing w:after="120"/>
            </w:pPr>
            <w:r>
              <w:t>Analyst</w:t>
            </w:r>
          </w:p>
        </w:tc>
        <w:tc>
          <w:tcPr>
            <w:tcW w:type="dxa" w:w="1020"/>
          </w:tcPr>
          <w:p>
            <w:pPr>
              <w:spacing w:after="120"/>
            </w:pPr>
            <w:r>
              <w:t>1</w:t>
            </w:r>
          </w:p>
        </w:tc>
        <w:tc>
          <w:tcPr>
            <w:tcW w:type="dxa" w:w="1587"/>
          </w:tcPr>
          <w:p>
            <w:pPr>
              <w:spacing w:after="120"/>
            </w:pPr>
            <w:r>
              <w:t>100</w:t>
            </w:r>
          </w:p>
        </w:tc>
      </w:tr>
      <w:tr>
        <w:tc>
          <w:tcPr>
            <w:tcW w:type="dxa" w:w="4876"/>
          </w:tcPr>
          <w:p>
            <w:pPr>
              <w:spacing w:after="120"/>
            </w:pPr>
            <w:r>
              <w:t>Conflict and acceptance-condition review</w:t>
            </w:r>
          </w:p>
        </w:tc>
        <w:tc>
          <w:tcPr>
            <w:tcW w:type="dxa" w:w="1701"/>
          </w:tcPr>
          <w:p>
            <w:pPr>
              <w:spacing w:after="120"/>
            </w:pPr>
            <w:r>
              <w:t>Partner</w:t>
            </w:r>
          </w:p>
        </w:tc>
        <w:tc>
          <w:tcPr>
            <w:tcW w:type="dxa" w:w="1020"/>
          </w:tcPr>
          <w:p>
            <w:pPr>
              <w:spacing w:after="120"/>
            </w:pPr>
            <w:r>
              <w:t>1</w:t>
            </w:r>
          </w:p>
        </w:tc>
        <w:tc>
          <w:tcPr>
            <w:tcW w:type="dxa" w:w="1587"/>
          </w:tcPr>
          <w:p>
            <w:pPr>
              <w:spacing w:after="120"/>
            </w:pPr>
            <w:r>
              <w:t>200</w:t>
            </w:r>
          </w:p>
        </w:tc>
      </w:tr>
      <w:tr>
        <w:tc>
          <w:tcPr>
            <w:tcW w:type="dxa" w:w="4876"/>
          </w:tcPr>
          <w:p>
            <w:pPr>
              <w:spacing w:after="120"/>
            </w:pPr>
            <w:r>
              <w:t>Existing-process desk review</w:t>
            </w:r>
          </w:p>
        </w:tc>
        <w:tc>
          <w:tcPr>
            <w:tcW w:type="dxa" w:w="1701"/>
          </w:tcPr>
          <w:p>
            <w:pPr>
              <w:spacing w:after="120"/>
            </w:pPr>
            <w:r>
              <w:t>Analyst</w:t>
            </w:r>
          </w:p>
        </w:tc>
        <w:tc>
          <w:tcPr>
            <w:tcW w:type="dxa" w:w="1020"/>
          </w:tcPr>
          <w:p>
            <w:pPr>
              <w:spacing w:after="120"/>
            </w:pPr>
            <w:r>
              <w:t>4</w:t>
            </w:r>
          </w:p>
        </w:tc>
        <w:tc>
          <w:tcPr>
            <w:tcW w:type="dxa" w:w="1587"/>
          </w:tcPr>
          <w:p>
            <w:pPr>
              <w:spacing w:after="120"/>
            </w:pPr>
            <w:r>
              <w:t>100</w:t>
            </w:r>
          </w:p>
        </w:tc>
      </w:tr>
      <w:tr>
        <w:tc>
          <w:tcPr>
            <w:tcW w:type="dxa" w:w="4876"/>
          </w:tcPr>
          <w:p>
            <w:pPr>
              <w:spacing w:after="120"/>
            </w:pPr>
            <w:r>
              <w:t>One internal workshop</w:t>
            </w:r>
          </w:p>
        </w:tc>
        <w:tc>
          <w:tcPr>
            <w:tcW w:type="dxa" w:w="1701"/>
          </w:tcPr>
          <w:p>
            <w:pPr>
              <w:spacing w:after="120"/>
            </w:pPr>
            <w:r>
              <w:t>Partner</w:t>
            </w:r>
          </w:p>
        </w:tc>
        <w:tc>
          <w:tcPr>
            <w:tcW w:type="dxa" w:w="1020"/>
          </w:tcPr>
          <w:p>
            <w:pPr>
              <w:spacing w:after="120"/>
            </w:pPr>
            <w:r>
              <w:t>2</w:t>
            </w:r>
          </w:p>
        </w:tc>
        <w:tc>
          <w:tcPr>
            <w:tcW w:type="dxa" w:w="1587"/>
          </w:tcPr>
          <w:p>
            <w:pPr>
              <w:spacing w:after="120"/>
            </w:pPr>
            <w:r>
              <w:t>200</w:t>
            </w:r>
          </w:p>
        </w:tc>
      </w:tr>
      <w:tr>
        <w:tc>
          <w:tcPr>
            <w:tcW w:type="dxa" w:w="4876"/>
          </w:tcPr>
          <w:p>
            <w:pPr>
              <w:spacing w:after="120"/>
            </w:pPr>
            <w:r>
              <w:t>Options briefing and partner decision review</w:t>
            </w:r>
          </w:p>
        </w:tc>
        <w:tc>
          <w:tcPr>
            <w:tcW w:type="dxa" w:w="1701"/>
          </w:tcPr>
          <w:p>
            <w:pPr>
              <w:spacing w:after="120"/>
            </w:pPr>
            <w:r>
              <w:t>Partner</w:t>
            </w:r>
          </w:p>
        </w:tc>
        <w:tc>
          <w:tcPr>
            <w:tcW w:type="dxa" w:w="1020"/>
          </w:tcPr>
          <w:p>
            <w:pPr>
              <w:spacing w:after="120"/>
            </w:pPr>
            <w:r>
              <w:t>2</w:t>
            </w:r>
          </w:p>
        </w:tc>
        <w:tc>
          <w:tcPr>
            <w:tcW w:type="dxa" w:w="1587"/>
          </w:tcPr>
          <w:p>
            <w:pPr>
              <w:spacing w:after="120"/>
            </w:pPr>
            <w:r>
              <w:t>200</w:t>
            </w:r>
          </w:p>
        </w:tc>
      </w:tr>
    </w:tbl>
    <w:p>
      <w:r>
        <w:t>AUD labour 1,500.00; external 0.00; tools 50.00; overhead 200.00; contingency 250.00; modelled cost 2,000.00; proposed fee 3,000.00; contribution 1,000.00.</w:t>
      </w:r>
    </w:p>
    <w:p>
      <w:r>
        <w:t>Revised authored AUD planning case: five stages, 10hours total. Labour1500, external0 explicitly assumed for this desk/workshop case, tools50, overhead200, contingency250; cost2000 and proposed fee3000. Not an agreed fee; excludes tax and implementation. No interviews or four-interview budget carried forward. Resource availability, conflict, credentials, client scope and permission unresolved.</w:t>
      </w:r>
    </w:p>
    <w:p>
      <w:pPr>
        <w:pStyle w:val="Heading1"/>
      </w:pPr>
      <w:r>
        <w:t>Requirement and claim review</w:t>
      </w:r>
    </w:p>
    <w:p>
      <w:pPr>
        <w:pStyle w:val="Heading2"/>
      </w:pPr>
      <w:r>
        <w:t>R1 · Limit the proposed work to a desk review of the existing checklist and one internal workshop.</w:t>
      </w:r>
    </w:p>
    <w:p>
      <w:r>
        <w:t>Source-backed. Internal proposal wording: “Conduct a desk review of the existing checklist and facilitate one internal workshop to frame practical options.”</w:t>
      </w:r>
    </w:p>
    <w:p>
      <w:r>
        <w:t>Human disposition: checked — Checked corrected request: desk review and one workshop replace the earlier programme.</w:t>
      </w:r>
    </w:p>
    <w:p>
      <w:r>
        <w:t>01-fictional-request.md: Birchwell now asks only for a desk review of the existing checklist and one internal workshop.</w:t>
      </w:r>
    </w:p>
    <w:p>
      <w:pPr>
        <w:pStyle w:val="Heading2"/>
      </w:pPr>
      <w:r>
        <w:t>R2 · Do not promise or include the earlier four-interview study, interview access, or an interview programme.</w:t>
      </w:r>
    </w:p>
    <w:p>
      <w:r>
        <w:t>Source-backed. Internal proposal wording: “This phase excludes interviews and makes no commitment regarding access to interviewees; any such activity requires a separate permission decision.”</w:t>
      </w:r>
    </w:p>
    <w:p>
      <w:r>
        <w:t>Human disposition: checked — Checked explicit removal of interviews; old promise must not carry forward.</w:t>
      </w:r>
    </w:p>
    <w:p>
      <w:r>
        <w:t>01-fictional-request.md: The earlier four-interview study is not requested. No interview access or programme should be promised.</w:t>
      </w:r>
    </w:p>
    <w:p>
      <w:r>
        <w:t>02-fictional-discovery.txt: We have not approved a four-interview programme or a fee.</w:t>
      </w:r>
    </w:p>
    <w:p>
      <w:pPr>
        <w:pStyle w:val="Heading2"/>
      </w:pPr>
      <w:r>
        <w:t>R3 · Produce a short options briefing comparing the existing meeting and project folder with an additional form.</w:t>
      </w:r>
    </w:p>
    <w:p>
      <w:r>
        <w:t>Source-backed. Internal proposal wording: “Prepare a short options briefing comparing the current meeting and project-folder approach with an additional form, so a first process test can be selected.”</w:t>
      </w:r>
    </w:p>
    <w:p>
      <w:r>
        <w:t>Human disposition: checked — Checked requested options briefing; no implementation or measured benefit claim.</w:t>
      </w:r>
    </w:p>
    <w:p>
      <w:r>
        <w:t>01-fictional-request.md: The output remains a short options briefing comparing the existing meeting and project folder with an additional form.</w:t>
      </w:r>
    </w:p>
    <w:p>
      <w:r>
        <w:t>02-fictional-discovery.txt: A short options briefing could help us choose a first process test.</w:t>
      </w:r>
    </w:p>
    <w:p>
      <w:pPr>
        <w:pStyle w:val="Heading2"/>
      </w:pPr>
      <w:r>
        <w:t>R4 · Do not propose implementation in this phase.</w:t>
      </w:r>
    </w:p>
    <w:p>
      <w:r>
        <w:t>Source-backed. Internal proposal wording: “The work ends with the options briefing and recommended next-decision criteria; implementation is outside this phase.”</w:t>
      </w:r>
    </w:p>
    <w:p>
      <w:r>
        <w:t>Human disposition: checked — Checked exclusion; no implementation in this phase.</w:t>
      </w:r>
    </w:p>
    <w:p>
      <w:r>
        <w:t>01-fictional-request.md: No implementation is requested.</w:t>
      </w:r>
    </w:p>
    <w:p>
      <w:r>
        <w:t>02-fictional-discovery.txt: We are not asking you to implement changes in this phase.</w:t>
      </w:r>
    </w:p>
    <w:p>
      <w:pPr>
        <w:pStyle w:val="Heading2"/>
      </w:pPr>
      <w:r>
        <w:t>R5 · Test whether open approvals or inconsistent use of the existing checklist may explain repeated questions before considering a dashboard.</w:t>
      </w:r>
    </w:p>
    <w:p>
      <w:r>
        <w:t>Source-backed as a discovery hypothesis, not a validated diagnosis. Internal proposal wording: “Use the desk review and workshop to examine open approvals and consistency of checklist use as possible explanations for repeated questions, before considering a new dashboard.”</w:t>
      </w:r>
    </w:p>
    <w:p>
      <w:r>
        <w:t>Human disposition: checked — Keep approvals/checklist use as hypotheses, not diagnosis.</w:t>
      </w:r>
    </w:p>
    <w:p>
      <w:r>
        <w:t>02-fictional-discovery.txt: We want to know whether open approvals or inconsistent use explains the repeated questions; a new dashboard is not the starting point.</w:t>
      </w:r>
    </w:p>
    <w:p>
      <w:pPr>
        <w:pStyle w:val="Heading2"/>
      </w:pPr>
      <w:r>
        <w:t>R6 · Comparable-engagement evidence and insurance evidence.</w:t>
      </w:r>
    </w:p>
    <w:p>
      <w:r>
        <w:t>Unanswered. Do not claim comparable engagements or insurance coverage in any proposal or acceptance material until evidence is separately supplied and reviewed.</w:t>
      </w:r>
    </w:p>
    <w:p>
      <w:r>
        <w:t>Human disposition: unanswered — Unanswered: no experience or insurance evidence admitted.</w:t>
      </w:r>
    </w:p>
    <w:p>
      <w:r>
        <w:t>01-fictional-request.md: Comparable-engagement and insurance evidence remain unanswered.</w:t>
      </w:r>
    </w:p>
    <w:p>
      <w:r>
        <w:t>03-fictional-firm-context.txt: No case-study references, insurance certificate, signed terms or data processing agreement have been admitted. These are unanswered, not satisfied.</w:t>
      </w:r>
    </w:p>
    <w:p>
      <w:pPr>
        <w:pStyle w:val="Heading2"/>
      </w:pPr>
      <w:r>
        <w:t>R7 · Related-firm conflict clearance.</w:t>
      </w:r>
    </w:p>
    <w:p>
      <w:r>
        <w:t>Unanswered. Do not accept, contact, or represent clearance until the responsible partner identifies parties and restrictions.</w:t>
      </w:r>
    </w:p>
    <w:p>
      <w:r>
        <w:t>Human disposition: unanswered — Unanswered: related-firm conflict not cleared.</w:t>
      </w:r>
    </w:p>
    <w:p>
      <w:r>
        <w:t>03-fictional-firm-context.txt: An existing assignment for a related firm may create a conflict. The responsible partner must identify parties and restrictions before any real contact or acceptance. This sample does not clear a conflict.</w:t>
      </w:r>
    </w:p>
    <w:p>
      <w:pPr>
        <w:pStyle w:val="Heading2"/>
      </w:pPr>
      <w:r>
        <w:t>R8 · Commercial, contractual, data, and scheduling agreement.</w:t>
      </w:r>
    </w:p>
    <w:p>
      <w:r>
        <w:t>Unanswered. Do not state or infer a fee, budget, signed terms, data permission, or delivery date.</w:t>
      </w:r>
    </w:p>
    <w:p>
      <w:r>
        <w:t>Human disposition: unanswered — Unanswered: no actual fee, budget, terms, data permission or date agreed.</w:t>
      </w:r>
    </w:p>
    <w:p>
      <w:r>
        <w:t>01-fictional-request.md: No fee, budget, signed terms, data permission or delivery date is agreed.</w:t>
      </w:r>
    </w:p>
    <w:p>
      <w:pPr>
        <w:pStyle w:val="Heading1"/>
      </w:pPr>
      <w:r>
        <w:t>Partner decision history</w:t>
      </w:r>
    </w:p>
    <w:p>
      <w:r>
        <w:t>approve-proposal · Maya · fictional partner · 2026-10-24T23:38:43.394Z</w:t>
      </w:r>
    </w:p>
    <w:p>
      <w:r>
        <w:t>Approve proposal v2 for restricted internal planning. The corrected request removes interviews; do not reuse the old programme or fee assumptions. Revised authored cost2000 and hypothetical fee3000 replace only this planning version, not a client agreement.</w:t>
      </w:r>
    </w:p>
    <w:p>
      <w:r>
        <w:t>External pursuit remains deferred. Credentials, conflict clearance, permission, budget, authority, signed terms and availability are unanswered. Workshop and desk review are proposed only.</w:t>
      </w:r>
    </w:p>
    <w:p>
      <w:pPr>
        <w:pStyle w:val="Heading1"/>
      </w:pPr>
      <w:r>
        <w:t>Internal delivery handover</w:t>
      </w:r>
    </w:p>
    <w:p>
      <w:r>
        <w:t>Nadia · fictional delivery manager · 2026-10-24T23:38:49.437Z</w:t>
      </w:r>
    </w:p>
    <w:p>
      <w:r>
        <w:t>Accept proposal v2 as the replacement planning handover. Remove interviews and earlier programme assumptions. Desk review and one internal workshop only, held for actual scope, permissions, conflict, credentials and resources. Prior handover remains historical.</w:t>
      </w:r>
    </w:p>
    <w:p>
      <w:r>
        <w:t>No client agreement, work release or signed fee. Internal planning only; unresolved acceptance checks remain.</w:t>
      </w:r>
    </w:p>
    <w:p>
      <w:r>
        <w:rPr>
          <w:sz w:val="18"/>
        </w:rPr>
        <w:t>Edits made outside the platform need a new review. This copy is internal preparation, not a client agreement.</w:t>
      </w:r>
    </w:p>
    <w:sectPr w:rsidR="00FC693F" w:rsidRPr="0006063C" w:rsidSect="00034616">
      <w:pgSz w:w="11906" w:h="16838"/>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spacing w:after="160" w:line="276" w:lineRule="auto"/>
    </w:pPr>
    <w:rPr>
      <w:rFonts w:ascii="Arial" w:hAnsi="Arial"/>
      <w:color w:val="2427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24272D"/>
      <w:sz w:val="26"/>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24272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24272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